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5D1F" w14:textId="77777777" w:rsidR="00872CF9" w:rsidRDefault="00872CF9" w:rsidP="00AD4BF0">
      <w:pPr>
        <w:pStyle w:val="Heading1"/>
        <w:spacing w:after="120"/>
        <w:jc w:val="center"/>
        <w:rPr>
          <w:rFonts w:asciiTheme="minorHAnsi" w:hAnsiTheme="minorHAnsi"/>
          <w:i w:val="0"/>
          <w:color w:val="auto"/>
          <w:sz w:val="24"/>
          <w:szCs w:val="24"/>
          <w:lang w:val="en-GB"/>
        </w:rPr>
      </w:pPr>
      <w:bookmarkStart w:id="0" w:name="_Why_get_ready"/>
      <w:bookmarkEnd w:id="0"/>
      <w:r>
        <w:rPr>
          <w:rFonts w:asciiTheme="minorHAnsi" w:hAnsiTheme="minorHAnsi"/>
          <w:i w:val="0"/>
          <w:color w:val="auto"/>
          <w:sz w:val="24"/>
          <w:szCs w:val="24"/>
          <w:lang w:val="en-GB"/>
        </w:rPr>
        <w:t>Dr Malik Prac</w:t>
      </w:r>
      <w:r w:rsidR="00AD4BF0">
        <w:rPr>
          <w:rFonts w:asciiTheme="minorHAnsi" w:hAnsiTheme="minorHAnsi"/>
          <w:i w:val="0"/>
          <w:color w:val="auto"/>
          <w:sz w:val="24"/>
          <w:szCs w:val="24"/>
          <w:lang w:val="en-GB"/>
        </w:rPr>
        <w:t xml:space="preserve">tice Kent Elms Health Centre 1 Rayleigh </w:t>
      </w:r>
      <w:r>
        <w:rPr>
          <w:rFonts w:asciiTheme="minorHAnsi" w:hAnsiTheme="minorHAnsi"/>
          <w:i w:val="0"/>
          <w:color w:val="auto"/>
          <w:sz w:val="24"/>
          <w:szCs w:val="24"/>
          <w:lang w:val="en-GB"/>
        </w:rPr>
        <w:t>Road leigh On Sea Essex  SS9 5UU</w:t>
      </w:r>
    </w:p>
    <w:p w14:paraId="3F7D3418" w14:textId="77777777" w:rsidR="00872CF9" w:rsidRPr="00872CF9" w:rsidRDefault="00872CF9" w:rsidP="00872CF9">
      <w:pPr>
        <w:rPr>
          <w:b/>
          <w:lang w:val="en-GB"/>
        </w:rPr>
      </w:pPr>
      <w:r>
        <w:rPr>
          <w:b/>
          <w:lang w:val="en-GB"/>
        </w:rPr>
        <w:t>_____________________________________________________________________________</w:t>
      </w:r>
    </w:p>
    <w:tbl>
      <w:tblPr>
        <w:tblStyle w:val="TableGrid"/>
        <w:tblW w:w="0" w:type="auto"/>
        <w:tblLook w:val="04A0" w:firstRow="1" w:lastRow="0" w:firstColumn="1" w:lastColumn="0" w:noHBand="0" w:noVBand="1"/>
      </w:tblPr>
      <w:tblGrid>
        <w:gridCol w:w="11023"/>
      </w:tblGrid>
      <w:tr w:rsidR="00872CF9" w:rsidRPr="00872CF9" w14:paraId="7762EA7A" w14:textId="77777777" w:rsidTr="00872CF9">
        <w:trPr>
          <w:trHeight w:val="74"/>
        </w:trPr>
        <w:tc>
          <w:tcPr>
            <w:tcW w:w="11023" w:type="dxa"/>
            <w:tcBorders>
              <w:top w:val="nil"/>
              <w:left w:val="nil"/>
              <w:bottom w:val="nil"/>
              <w:right w:val="nil"/>
            </w:tcBorders>
            <w:vAlign w:val="center"/>
          </w:tcPr>
          <w:p w14:paraId="414461A6" w14:textId="77777777" w:rsidR="00872CF9" w:rsidRPr="00872CF9" w:rsidRDefault="00872CF9" w:rsidP="00872CF9">
            <w:pPr>
              <w:pStyle w:val="BodyText2"/>
              <w:spacing w:before="120" w:line="240" w:lineRule="auto"/>
              <w:rPr>
                <w:rFonts w:cs="Arial"/>
                <w:bCs/>
              </w:rPr>
            </w:pPr>
          </w:p>
        </w:tc>
      </w:tr>
    </w:tbl>
    <w:p w14:paraId="28CA4DF9" w14:textId="77777777" w:rsidR="00381511" w:rsidRPr="008A3557" w:rsidRDefault="00381511" w:rsidP="00381511">
      <w:pPr>
        <w:rPr>
          <w:b/>
          <w:bCs/>
          <w:color w:val="365F91" w:themeColor="accent1" w:themeShade="BF"/>
          <w:sz w:val="32"/>
          <w:szCs w:val="32"/>
        </w:rPr>
      </w:pPr>
      <w:r w:rsidRPr="008A3557">
        <w:rPr>
          <w:b/>
          <w:bCs/>
          <w:color w:val="365F91" w:themeColor="accent1" w:themeShade="BF"/>
          <w:sz w:val="32"/>
          <w:szCs w:val="32"/>
        </w:rPr>
        <w:t xml:space="preserve">Patient Online: </w:t>
      </w:r>
      <w:r>
        <w:rPr>
          <w:b/>
          <w:bCs/>
          <w:color w:val="365F91" w:themeColor="accent1" w:themeShade="BF"/>
          <w:sz w:val="32"/>
          <w:szCs w:val="32"/>
        </w:rPr>
        <w:t>Records Access</w:t>
      </w:r>
    </w:p>
    <w:p w14:paraId="741E027A" w14:textId="77777777"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14:paraId="3E51E4ED" w14:textId="77777777" w:rsidR="001D01D9" w:rsidRPr="008A3557" w:rsidRDefault="001D01D9" w:rsidP="00381511">
      <w:pPr>
        <w:rPr>
          <w:lang w:val="en-GB"/>
        </w:rPr>
      </w:pPr>
    </w:p>
    <w:p w14:paraId="66C8336F" w14:textId="77777777"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14:paraId="0CCBF330" w14:textId="77777777" w:rsidTr="00D87928">
        <w:tc>
          <w:tcPr>
            <w:tcW w:w="5528" w:type="dxa"/>
          </w:tcPr>
          <w:p w14:paraId="296A1346" w14:textId="77777777" w:rsidR="001D01D9" w:rsidRDefault="001D01D9" w:rsidP="001D01D9">
            <w:pPr>
              <w:pStyle w:val="BodyText"/>
              <w:spacing w:before="0" w:after="0" w:line="240" w:lineRule="auto"/>
              <w:rPr>
                <w:rFonts w:ascii="Arial" w:hAnsi="Arial" w:cs="Arial"/>
                <w:sz w:val="22"/>
                <w:szCs w:val="22"/>
                <w:lang w:val="en-GB"/>
              </w:rPr>
            </w:pPr>
          </w:p>
          <w:p w14:paraId="6572381F" w14:textId="77777777" w:rsidR="001D01D9" w:rsidRDefault="001D01D9" w:rsidP="001D01D9">
            <w:pPr>
              <w:pStyle w:val="BodyText"/>
              <w:spacing w:before="0" w:after="0" w:line="240" w:lineRule="auto"/>
              <w:rPr>
                <w:rFonts w:ascii="Arial" w:hAnsi="Arial" w:cs="Arial"/>
                <w:sz w:val="22"/>
                <w:szCs w:val="22"/>
                <w:lang w:val="en-GB"/>
              </w:rPr>
            </w:pPr>
          </w:p>
          <w:p w14:paraId="69DFF957" w14:textId="77777777"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005037E3">
              <w:rPr>
                <w:rFonts w:ascii="Arial" w:hAnsi="Arial" w:cs="Arial"/>
                <w:sz w:val="22"/>
                <w:szCs w:val="22"/>
                <w:lang w:val="en-GB"/>
              </w:rPr>
              <w:t>also</w:t>
            </w:r>
            <w:r w:rsidR="00594142" w:rsidRPr="001D01D9">
              <w:rPr>
                <w:rFonts w:ascii="Arial" w:hAnsi="Arial" w:cs="Arial"/>
                <w:sz w:val="22"/>
                <w:szCs w:val="22"/>
                <w:lang w:val="en-GB"/>
              </w:rPr>
              <w:t xml:space="preserve"> still use the telephone </w:t>
            </w:r>
            <w:r w:rsidR="005037E3">
              <w:rPr>
                <w:rFonts w:ascii="Arial" w:hAnsi="Arial" w:cs="Arial"/>
                <w:sz w:val="22"/>
                <w:szCs w:val="22"/>
                <w:lang w:val="en-GB"/>
              </w:rPr>
              <w:t xml:space="preserve"> to make appointments </w:t>
            </w:r>
            <w:r w:rsidR="00594142" w:rsidRPr="001D01D9">
              <w:rPr>
                <w:rFonts w:ascii="Arial" w:hAnsi="Arial" w:cs="Arial"/>
                <w:sz w:val="22"/>
                <w:szCs w:val="22"/>
                <w:lang w:val="en-GB"/>
              </w:rPr>
              <w:t>or call in to the surgery for any of these services as well.  It’s your choice.</w:t>
            </w:r>
          </w:p>
          <w:p w14:paraId="506D7704" w14:textId="77777777" w:rsidR="001D01D9" w:rsidRPr="001D01D9" w:rsidRDefault="001D01D9" w:rsidP="001D01D9">
            <w:pPr>
              <w:pStyle w:val="BodyText"/>
              <w:spacing w:before="0" w:after="0" w:line="240" w:lineRule="auto"/>
              <w:rPr>
                <w:rFonts w:ascii="Arial" w:hAnsi="Arial" w:cs="Arial"/>
                <w:sz w:val="22"/>
                <w:szCs w:val="22"/>
                <w:lang w:val="en-GB"/>
              </w:rPr>
            </w:pPr>
          </w:p>
          <w:p w14:paraId="127BAA53"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is your choice and practice staff will continue to treat you in the same way as before. In general this decision will not affect the quality of your care.</w:t>
            </w:r>
          </w:p>
          <w:p w14:paraId="2D41EBC6" w14:textId="77777777" w:rsidR="001D01D9" w:rsidRPr="001D01D9" w:rsidRDefault="001D01D9" w:rsidP="001D01D9">
            <w:pPr>
              <w:pStyle w:val="BodyText"/>
              <w:spacing w:before="0" w:after="0" w:line="240" w:lineRule="auto"/>
              <w:rPr>
                <w:rFonts w:ascii="Arial" w:hAnsi="Arial" w:cs="Arial"/>
                <w:sz w:val="22"/>
                <w:szCs w:val="22"/>
                <w:lang w:val="en-GB"/>
              </w:rPr>
            </w:pPr>
          </w:p>
          <w:p w14:paraId="54FED88E"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4FC6A051"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12013060"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52A98A65"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4D2F3562"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271FD1A3"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0ABA1650"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1FF6A21A"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53B58B46"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76ACCF5F" w14:textId="77777777"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14:paraId="5E9C72A2"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14:paraId="32E6AC42" w14:textId="77777777" w:rsidR="002B0E52" w:rsidRPr="00394D68" w:rsidRDefault="002B0E52" w:rsidP="00594142">
            <w:pPr>
              <w:pStyle w:val="BodyText"/>
              <w:rPr>
                <w:lang w:val="en-GB"/>
              </w:rPr>
            </w:pPr>
          </w:p>
          <w:p w14:paraId="6B846DDC"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527793E5"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5071A583"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32E76CF4"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734BA8BA"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3894CA7A" w14:textId="77777777" w:rsidR="00A81817" w:rsidRPr="001D01D9" w:rsidRDefault="00A81817" w:rsidP="001D01D9">
            <w:pPr>
              <w:pStyle w:val="BodyText"/>
              <w:spacing w:before="0" w:after="0" w:line="240" w:lineRule="auto"/>
              <w:rPr>
                <w:rFonts w:asciiTheme="minorBidi" w:hAnsiTheme="minorBidi" w:cstheme="minorBidi"/>
                <w:sz w:val="22"/>
                <w:szCs w:val="22"/>
                <w:lang w:val="en-GB"/>
              </w:rPr>
            </w:pPr>
          </w:p>
          <w:p w14:paraId="3F287B2B" w14:textId="77777777"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14:paraId="0F09FA17" w14:textId="77777777" w:rsidR="00594142" w:rsidRPr="00394D68" w:rsidRDefault="00594142" w:rsidP="001D01D9">
            <w:pPr>
              <w:pStyle w:val="BodyText"/>
              <w:spacing w:before="0" w:after="0" w:line="240" w:lineRule="auto"/>
              <w:rPr>
                <w:lang w:val="en-GB"/>
              </w:rPr>
            </w:pPr>
          </w:p>
        </w:tc>
      </w:tr>
    </w:tbl>
    <w:p w14:paraId="073D4013" w14:textId="77777777" w:rsidR="00594142" w:rsidRDefault="00594142" w:rsidP="003818C5">
      <w:pPr>
        <w:autoSpaceDE w:val="0"/>
        <w:autoSpaceDN w:val="0"/>
        <w:adjustRightInd w:val="0"/>
        <w:rPr>
          <w:color w:val="000000"/>
          <w:lang w:val="en-GB"/>
        </w:rPr>
      </w:pPr>
    </w:p>
    <w:p w14:paraId="53CFBEE4" w14:textId="77777777" w:rsidR="002737BD" w:rsidRDefault="002737BD" w:rsidP="003818C5">
      <w:pPr>
        <w:autoSpaceDE w:val="0"/>
        <w:autoSpaceDN w:val="0"/>
        <w:adjustRightInd w:val="0"/>
        <w:rPr>
          <w:color w:val="000000"/>
          <w:lang w:val="en-GB"/>
        </w:rPr>
      </w:pPr>
    </w:p>
    <w:p w14:paraId="63DB0E30" w14:textId="77777777" w:rsidR="002737BD" w:rsidRDefault="002737BD" w:rsidP="003818C5">
      <w:pPr>
        <w:autoSpaceDE w:val="0"/>
        <w:autoSpaceDN w:val="0"/>
        <w:adjustRightInd w:val="0"/>
        <w:rPr>
          <w:color w:val="000000"/>
          <w:lang w:val="en-GB"/>
        </w:rPr>
      </w:pPr>
    </w:p>
    <w:p w14:paraId="65BC2DB6" w14:textId="77777777" w:rsidR="002737BD" w:rsidRDefault="002737BD" w:rsidP="003818C5">
      <w:pPr>
        <w:autoSpaceDE w:val="0"/>
        <w:autoSpaceDN w:val="0"/>
        <w:adjustRightInd w:val="0"/>
        <w:rPr>
          <w:color w:val="000000"/>
          <w:lang w:val="en-GB"/>
        </w:rPr>
      </w:pPr>
    </w:p>
    <w:p w14:paraId="7F329CFE" w14:textId="77777777" w:rsidR="002737BD" w:rsidRDefault="002737BD" w:rsidP="003818C5">
      <w:pPr>
        <w:autoSpaceDE w:val="0"/>
        <w:autoSpaceDN w:val="0"/>
        <w:adjustRightInd w:val="0"/>
        <w:rPr>
          <w:color w:val="000000"/>
          <w:lang w:val="en-GB"/>
        </w:rPr>
      </w:pPr>
    </w:p>
    <w:p w14:paraId="53BDC278" w14:textId="77777777" w:rsidR="002737BD" w:rsidRDefault="002737BD" w:rsidP="003818C5">
      <w:pPr>
        <w:autoSpaceDE w:val="0"/>
        <w:autoSpaceDN w:val="0"/>
        <w:adjustRightInd w:val="0"/>
        <w:rPr>
          <w:color w:val="000000"/>
          <w:lang w:val="en-GB"/>
        </w:rPr>
      </w:pPr>
    </w:p>
    <w:p w14:paraId="31DA5BB9" w14:textId="77777777" w:rsidR="002737BD" w:rsidRDefault="002737BD" w:rsidP="002737BD">
      <w:pPr>
        <w:autoSpaceDE w:val="0"/>
        <w:autoSpaceDN w:val="0"/>
        <w:adjustRightInd w:val="0"/>
        <w:jc w:val="center"/>
        <w:rPr>
          <w:color w:val="000000"/>
          <w:lang w:val="en-GB"/>
        </w:rPr>
      </w:pPr>
    </w:p>
    <w:p w14:paraId="20FD91CA"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63EC79A4" w14:textId="77777777" w:rsidTr="00345F62">
        <w:tc>
          <w:tcPr>
            <w:tcW w:w="10773" w:type="dxa"/>
            <w:tcBorders>
              <w:top w:val="nil"/>
              <w:left w:val="nil"/>
              <w:bottom w:val="nil"/>
              <w:right w:val="nil"/>
            </w:tcBorders>
          </w:tcPr>
          <w:p w14:paraId="3ACEB418" w14:textId="77777777" w:rsidR="004C4758" w:rsidRDefault="004C4758" w:rsidP="001D01D9">
            <w:pPr>
              <w:pStyle w:val="Heading2"/>
              <w:spacing w:before="120" w:after="120"/>
              <w:rPr>
                <w:color w:val="365F91" w:themeColor="accent1" w:themeShade="BF"/>
                <w:sz w:val="32"/>
                <w:szCs w:val="32"/>
                <w:lang w:val="en-GB"/>
              </w:rPr>
            </w:pPr>
          </w:p>
          <w:p w14:paraId="26DFE206" w14:textId="77777777" w:rsidR="00872CF9" w:rsidRDefault="00872CF9" w:rsidP="00872CF9">
            <w:pPr>
              <w:rPr>
                <w:lang w:val="en-GB"/>
              </w:rPr>
            </w:pPr>
          </w:p>
          <w:p w14:paraId="75EEC9D5" w14:textId="77777777" w:rsidR="00872CF9" w:rsidRPr="00872CF9" w:rsidRDefault="00872CF9" w:rsidP="00872CF9">
            <w:pPr>
              <w:rPr>
                <w:lang w:val="en-GB"/>
              </w:rPr>
            </w:pPr>
          </w:p>
          <w:p w14:paraId="64C1DF6C" w14:textId="77777777" w:rsidR="00345F62" w:rsidRPr="001101FB" w:rsidRDefault="00345F62" w:rsidP="001D01D9">
            <w:pPr>
              <w:pStyle w:val="Heading2"/>
              <w:spacing w:before="120" w:after="120"/>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14:paraId="7CA51390"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02036C03" w14:textId="77777777"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122FC3E5"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585363FD" w14:textId="77777777" w:rsidR="00594142" w:rsidRPr="001D01D9" w:rsidRDefault="00594142" w:rsidP="00630DB9">
            <w:pPr>
              <w:pStyle w:val="Heading1"/>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0299D6B8"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4D7AF0A6" w14:textId="77777777" w:rsidR="00594142" w:rsidRPr="00394D68" w:rsidRDefault="00594142" w:rsidP="00630DB9">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06EDC96"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Forgotten history </w:t>
            </w:r>
          </w:p>
          <w:p w14:paraId="38111686"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6C818138" w14:textId="77777777" w:rsidTr="00345F62">
        <w:tc>
          <w:tcPr>
            <w:tcW w:w="709" w:type="dxa"/>
            <w:vMerge/>
            <w:tcBorders>
              <w:left w:val="single" w:sz="18" w:space="0" w:color="D1DCFF"/>
              <w:right w:val="single" w:sz="12" w:space="0" w:color="00517E"/>
            </w:tcBorders>
            <w:shd w:val="clear" w:color="auto" w:fill="D1DCFF"/>
            <w:textDirection w:val="btLr"/>
          </w:tcPr>
          <w:p w14:paraId="62CF0D16" w14:textId="77777777" w:rsidR="00594142" w:rsidRPr="00394D68" w:rsidRDefault="00594142" w:rsidP="00630DB9">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C35E055" w14:textId="77777777" w:rsidR="00594142" w:rsidRPr="001D01D9" w:rsidRDefault="00594142" w:rsidP="001D01D9">
            <w:pPr>
              <w:pStyle w:val="Heading2"/>
              <w:spacing w:before="120" w:after="120"/>
              <w:ind w:left="33"/>
              <w:rPr>
                <w:color w:val="365F91" w:themeColor="accent1" w:themeShade="BF"/>
                <w:lang w:val="en-GB"/>
              </w:rPr>
            </w:pPr>
            <w:r w:rsidRPr="001D01D9">
              <w:rPr>
                <w:color w:val="365F91" w:themeColor="accent1" w:themeShade="BF"/>
                <w:lang w:val="en-GB"/>
              </w:rPr>
              <w:t xml:space="preserve">Abnormal results or bad news  </w:t>
            </w:r>
          </w:p>
          <w:p w14:paraId="79EBF777"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14:paraId="3153844E" w14:textId="77777777" w:rsidTr="00345F62">
        <w:tc>
          <w:tcPr>
            <w:tcW w:w="709" w:type="dxa"/>
            <w:vMerge/>
            <w:tcBorders>
              <w:left w:val="single" w:sz="18" w:space="0" w:color="D1DCFF"/>
              <w:right w:val="single" w:sz="12" w:space="0" w:color="00517E"/>
            </w:tcBorders>
            <w:shd w:val="clear" w:color="auto" w:fill="D1DCFF"/>
            <w:textDirection w:val="btLr"/>
          </w:tcPr>
          <w:p w14:paraId="3F473E40" w14:textId="77777777" w:rsidR="00594142" w:rsidRPr="00394D68" w:rsidRDefault="00594142" w:rsidP="00630DB9">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B2BEF4C"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Choosing to share your information with someone </w:t>
            </w:r>
          </w:p>
          <w:p w14:paraId="4F880C7A"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14:paraId="4E68A960" w14:textId="77777777" w:rsidTr="00345F62">
        <w:tc>
          <w:tcPr>
            <w:tcW w:w="709" w:type="dxa"/>
            <w:vMerge/>
            <w:tcBorders>
              <w:left w:val="single" w:sz="18" w:space="0" w:color="D1DCFF"/>
              <w:right w:val="single" w:sz="12" w:space="0" w:color="00517E"/>
            </w:tcBorders>
            <w:shd w:val="clear" w:color="auto" w:fill="D1DCFF"/>
            <w:textDirection w:val="btLr"/>
          </w:tcPr>
          <w:p w14:paraId="6C0771F6" w14:textId="77777777" w:rsidR="00594142" w:rsidRPr="00394D68" w:rsidRDefault="00594142" w:rsidP="00630DB9">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4ABCB19"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Coercion </w:t>
            </w:r>
          </w:p>
          <w:p w14:paraId="7D9B6B19"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5955BA1C" w14:textId="77777777" w:rsidTr="00345F62">
        <w:tc>
          <w:tcPr>
            <w:tcW w:w="709" w:type="dxa"/>
            <w:vMerge/>
            <w:tcBorders>
              <w:left w:val="single" w:sz="18" w:space="0" w:color="D1DCFF"/>
              <w:right w:val="single" w:sz="12" w:space="0" w:color="00517E"/>
            </w:tcBorders>
            <w:shd w:val="clear" w:color="auto" w:fill="D1DCFF"/>
            <w:textDirection w:val="btLr"/>
          </w:tcPr>
          <w:p w14:paraId="20369521" w14:textId="77777777" w:rsidR="00594142" w:rsidRPr="00394D68" w:rsidRDefault="00594142" w:rsidP="00630DB9">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6903D0E0" w14:textId="77777777" w:rsidR="00594142" w:rsidRPr="001D01D9" w:rsidRDefault="00E00A5E" w:rsidP="001D01D9">
            <w:pPr>
              <w:pStyle w:val="Heading2"/>
              <w:spacing w:before="120" w:after="120"/>
              <w:rPr>
                <w:color w:val="365F91" w:themeColor="accent1" w:themeShade="BF"/>
                <w:lang w:val="en-GB"/>
              </w:rPr>
            </w:pPr>
            <w:r w:rsidRPr="001D01D9">
              <w:rPr>
                <w:color w:val="365F91" w:themeColor="accent1" w:themeShade="BF"/>
                <w:lang w:val="en-GB"/>
              </w:rPr>
              <w:t xml:space="preserve">Misunderstood information </w:t>
            </w:r>
          </w:p>
          <w:p w14:paraId="527122ED" w14:textId="77777777"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14:paraId="42896F56"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48D1A01C" w14:textId="77777777" w:rsidR="00594142" w:rsidRPr="00394D68" w:rsidRDefault="00594142" w:rsidP="00630DB9">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CF82724"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Information about someone else </w:t>
            </w:r>
          </w:p>
          <w:p w14:paraId="4702692B"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2D81127B" w14:textId="77777777" w:rsidR="00594142" w:rsidRPr="00394D68" w:rsidRDefault="00594142" w:rsidP="00594142">
      <w:pPr>
        <w:rPr>
          <w:lang w:val="en-GB"/>
        </w:rPr>
      </w:pPr>
    </w:p>
    <w:p w14:paraId="4BAEC329"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32F297AB" w14:textId="77777777" w:rsidTr="00345F62">
        <w:tc>
          <w:tcPr>
            <w:tcW w:w="10489" w:type="dxa"/>
          </w:tcPr>
          <w:p w14:paraId="0A81EADE" w14:textId="77777777" w:rsidR="00354F9A" w:rsidRPr="001D01D9" w:rsidRDefault="00354F9A" w:rsidP="001D01D9">
            <w:pPr>
              <w:pStyle w:val="Heading2"/>
              <w:spacing w:before="120" w:after="120"/>
              <w:rPr>
                <w:color w:val="365F91" w:themeColor="accent1" w:themeShade="BF"/>
                <w:lang w:val="en-GB"/>
              </w:rPr>
            </w:pPr>
            <w:r w:rsidRPr="001D01D9">
              <w:rPr>
                <w:color w:val="365F91" w:themeColor="accent1" w:themeShade="BF"/>
                <w:lang w:val="en-GB"/>
              </w:rPr>
              <w:t>More information</w:t>
            </w:r>
          </w:p>
          <w:p w14:paraId="351BFA80"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0D65CEA7" w14:textId="77777777" w:rsidR="00354F9A" w:rsidRDefault="00354F9A" w:rsidP="001D01D9">
            <w:pPr>
              <w:pStyle w:val="BodyText"/>
              <w:spacing w:before="0" w:after="0" w:line="240" w:lineRule="auto"/>
              <w:rPr>
                <w:rStyle w:val="Hyperlink"/>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8" w:history="1">
              <w:r w:rsidR="004C4758" w:rsidRPr="00271C5A">
                <w:rPr>
                  <w:rStyle w:val="Hyperlink"/>
                  <w:rFonts w:ascii="Arial" w:hAnsi="Arial" w:cs="Arial"/>
                  <w:sz w:val="22"/>
                  <w:szCs w:val="22"/>
                  <w:lang w:val="en-GB"/>
                </w:rPr>
                <w:t>http://www.nhs.uk/NHSEngland/thenhs/records/healthrecords/Documents/PatientGuidanceBooklet.pdf</w:t>
              </w:r>
            </w:hyperlink>
            <w:r w:rsidR="004C4758">
              <w:rPr>
                <w:rFonts w:ascii="Arial" w:hAnsi="Arial" w:cs="Arial"/>
                <w:sz w:val="22"/>
                <w:szCs w:val="22"/>
                <w:lang w:val="en-GB"/>
              </w:rPr>
              <w:t xml:space="preserve"> </w:t>
            </w:r>
          </w:p>
          <w:p w14:paraId="15B5A174" w14:textId="77777777" w:rsidR="00B93D90" w:rsidRDefault="00B93D90" w:rsidP="001D01D9">
            <w:pPr>
              <w:pStyle w:val="BodyText"/>
              <w:spacing w:before="0" w:after="0" w:line="240" w:lineRule="auto"/>
              <w:rPr>
                <w:rStyle w:val="Hyperlink"/>
                <w:rFonts w:ascii="Arial" w:hAnsi="Arial" w:cs="Arial"/>
                <w:sz w:val="22"/>
                <w:szCs w:val="22"/>
                <w:lang w:val="en-GB"/>
              </w:rPr>
            </w:pPr>
          </w:p>
          <w:p w14:paraId="73FFAF3C" w14:textId="77777777" w:rsidR="00345F62" w:rsidRPr="00394D68" w:rsidRDefault="00345F62" w:rsidP="00B93D90">
            <w:pPr>
              <w:pStyle w:val="BodyText"/>
              <w:spacing w:before="0" w:after="0" w:line="240" w:lineRule="auto"/>
              <w:rPr>
                <w:lang w:val="en-GB"/>
              </w:rPr>
            </w:pPr>
          </w:p>
        </w:tc>
      </w:tr>
    </w:tbl>
    <w:p w14:paraId="1FB1532A" w14:textId="77777777" w:rsidR="00982517" w:rsidRDefault="00982517" w:rsidP="00B02FC0">
      <w:pPr>
        <w:pStyle w:val="BodyText"/>
      </w:pPr>
    </w:p>
    <w:sectPr w:rsidR="00982517" w:rsidSect="00872CF9">
      <w:footerReference w:type="default" r:id="rId9"/>
      <w:headerReference w:type="first" r:id="rId10"/>
      <w:footerReference w:type="first" r:id="rId11"/>
      <w:pgSz w:w="11906" w:h="16838"/>
      <w:pgMar w:top="426"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02FC" w14:textId="77777777" w:rsidR="009A6A12" w:rsidRDefault="009A6A12" w:rsidP="00982EB1">
      <w:r>
        <w:separator/>
      </w:r>
    </w:p>
  </w:endnote>
  <w:endnote w:type="continuationSeparator" w:id="0">
    <w:p w14:paraId="31325B86" w14:textId="77777777" w:rsidR="009A6A12" w:rsidRDefault="009A6A12"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E1002EFF" w:usb1="C000605B" w:usb2="00000029" w:usb3="00000000" w:csb0="000101FF" w:csb1="00000000"/>
  </w:font>
  <w:font w:name="USGNV C+ Frutiger">
    <w:altName w:val="Cambria"/>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907D" w14:textId="77777777" w:rsidR="00C631DF" w:rsidRPr="00C631DF" w:rsidRDefault="00C631DF" w:rsidP="00C631DF">
    <w:pPr>
      <w:pStyle w:val="Footer"/>
      <w:rPr>
        <w:sz w:val="18"/>
        <w:szCs w:val="18"/>
      </w:rPr>
    </w:pPr>
    <w:r w:rsidRPr="00C631DF">
      <w:rPr>
        <w:sz w:val="18"/>
        <w:szCs w:val="18"/>
      </w:rPr>
      <w:tab/>
    </w:r>
    <w:r>
      <w:rPr>
        <w:sz w:val="18"/>
        <w:szCs w:val="18"/>
      </w:rPr>
      <w:t xml:space="preserve">    </w:t>
    </w:r>
    <w:r w:rsidRPr="00C631DF">
      <w:rPr>
        <w:sz w:val="18"/>
        <w:szCs w:val="18"/>
      </w:rPr>
      <w:tab/>
    </w:r>
    <w:r>
      <w:rPr>
        <w:sz w:val="18"/>
        <w:szCs w:val="18"/>
      </w:rPr>
      <w:t xml:space="preserve">   </w:t>
    </w:r>
    <w:r w:rsidR="00CC15FC">
      <w:rPr>
        <w:sz w:val="18"/>
        <w:szCs w:val="18"/>
      </w:rPr>
      <w:t xml:space="preserve">   </w:t>
    </w:r>
    <w:r w:rsidR="004C4758" w:rsidRPr="004C4758">
      <w:rPr>
        <w:sz w:val="18"/>
        <w:szCs w:val="18"/>
      </w:rPr>
      <w:t>v3  16 January 2015</w:t>
    </w:r>
  </w:p>
  <w:p w14:paraId="1DC20CF7" w14:textId="77777777"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69CA" w14:textId="77777777" w:rsidR="00CC15FC" w:rsidRPr="00C631DF" w:rsidRDefault="00CC15FC" w:rsidP="00CC15FC">
    <w:pPr>
      <w:pStyle w:val="Footer"/>
      <w:rPr>
        <w:sz w:val="18"/>
        <w:szCs w:val="18"/>
      </w:rPr>
    </w:pPr>
    <w:r w:rsidRPr="00C631DF">
      <w:rPr>
        <w:sz w:val="18"/>
        <w:szCs w:val="18"/>
      </w:rPr>
      <w:tab/>
    </w:r>
    <w:r>
      <w:rPr>
        <w:sz w:val="18"/>
        <w:szCs w:val="18"/>
      </w:rPr>
      <w:t xml:space="preserve">    </w:t>
    </w:r>
    <w:r w:rsidRPr="00C631DF">
      <w:rPr>
        <w:sz w:val="18"/>
        <w:szCs w:val="18"/>
      </w:rPr>
      <w:tab/>
    </w:r>
  </w:p>
  <w:p w14:paraId="4A126CE8" w14:textId="77777777" w:rsidR="00CC15FC" w:rsidRDefault="00CC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0564" w14:textId="77777777" w:rsidR="009A6A12" w:rsidRDefault="009A6A12" w:rsidP="00982EB1">
      <w:r>
        <w:separator/>
      </w:r>
    </w:p>
  </w:footnote>
  <w:footnote w:type="continuationSeparator" w:id="0">
    <w:p w14:paraId="7926CC5B" w14:textId="77777777" w:rsidR="009A6A12" w:rsidRDefault="009A6A12"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E60B" w14:textId="77777777"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696903">
    <w:abstractNumId w:val="9"/>
  </w:num>
  <w:num w:numId="2" w16cid:durableId="1963269216">
    <w:abstractNumId w:val="7"/>
  </w:num>
  <w:num w:numId="3" w16cid:durableId="1474634193">
    <w:abstractNumId w:val="6"/>
  </w:num>
  <w:num w:numId="4" w16cid:durableId="1547792100">
    <w:abstractNumId w:val="5"/>
  </w:num>
  <w:num w:numId="5" w16cid:durableId="1324235892">
    <w:abstractNumId w:val="4"/>
  </w:num>
  <w:num w:numId="6" w16cid:durableId="965550806">
    <w:abstractNumId w:val="8"/>
  </w:num>
  <w:num w:numId="7" w16cid:durableId="636567669">
    <w:abstractNumId w:val="13"/>
  </w:num>
  <w:num w:numId="8" w16cid:durableId="1319185329">
    <w:abstractNumId w:val="14"/>
  </w:num>
  <w:num w:numId="9" w16cid:durableId="1422721417">
    <w:abstractNumId w:val="3"/>
  </w:num>
  <w:num w:numId="10" w16cid:durableId="1598824251">
    <w:abstractNumId w:val="2"/>
  </w:num>
  <w:num w:numId="11" w16cid:durableId="850071907">
    <w:abstractNumId w:val="1"/>
  </w:num>
  <w:num w:numId="12" w16cid:durableId="181408101">
    <w:abstractNumId w:val="0"/>
  </w:num>
  <w:num w:numId="13" w16cid:durableId="364214700">
    <w:abstractNumId w:val="15"/>
  </w:num>
  <w:num w:numId="14" w16cid:durableId="1852064354">
    <w:abstractNumId w:val="11"/>
  </w:num>
  <w:num w:numId="15" w16cid:durableId="1085692244">
    <w:abstractNumId w:val="12"/>
  </w:num>
  <w:num w:numId="16" w16cid:durableId="484856675">
    <w:abstractNumId w:val="10"/>
  </w:num>
  <w:num w:numId="17" w16cid:durableId="1387991133">
    <w:abstractNumId w:val="10"/>
    <w:lvlOverride w:ilvl="0">
      <w:startOverride w:val="1"/>
    </w:lvlOverride>
  </w:num>
  <w:num w:numId="18" w16cid:durableId="5284944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F9A"/>
    <w:rsid w:val="000040D6"/>
    <w:rsid w:val="00016058"/>
    <w:rsid w:val="00036E97"/>
    <w:rsid w:val="0004192B"/>
    <w:rsid w:val="0007115D"/>
    <w:rsid w:val="00090DA1"/>
    <w:rsid w:val="00091BCB"/>
    <w:rsid w:val="000A1E31"/>
    <w:rsid w:val="000B0748"/>
    <w:rsid w:val="000E21E9"/>
    <w:rsid w:val="000E5C45"/>
    <w:rsid w:val="000E610B"/>
    <w:rsid w:val="001064AF"/>
    <w:rsid w:val="001101FB"/>
    <w:rsid w:val="001123EA"/>
    <w:rsid w:val="00115799"/>
    <w:rsid w:val="001533C6"/>
    <w:rsid w:val="00165EDD"/>
    <w:rsid w:val="001822EE"/>
    <w:rsid w:val="001852A3"/>
    <w:rsid w:val="001B32DF"/>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37D47"/>
    <w:rsid w:val="003439AE"/>
    <w:rsid w:val="00345F62"/>
    <w:rsid w:val="00353636"/>
    <w:rsid w:val="00354F9A"/>
    <w:rsid w:val="00367BC5"/>
    <w:rsid w:val="003774A8"/>
    <w:rsid w:val="00381511"/>
    <w:rsid w:val="003818C5"/>
    <w:rsid w:val="00383CA4"/>
    <w:rsid w:val="0039451B"/>
    <w:rsid w:val="00394D68"/>
    <w:rsid w:val="003E48C4"/>
    <w:rsid w:val="00410D36"/>
    <w:rsid w:val="00426D9F"/>
    <w:rsid w:val="0043389F"/>
    <w:rsid w:val="004747CB"/>
    <w:rsid w:val="00485E0C"/>
    <w:rsid w:val="00486A1A"/>
    <w:rsid w:val="004C4758"/>
    <w:rsid w:val="004D74A5"/>
    <w:rsid w:val="004F0DAC"/>
    <w:rsid w:val="00501C0A"/>
    <w:rsid w:val="005037E3"/>
    <w:rsid w:val="005172AB"/>
    <w:rsid w:val="00527C98"/>
    <w:rsid w:val="00530EBF"/>
    <w:rsid w:val="00546A72"/>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C1F9A"/>
    <w:rsid w:val="006C2009"/>
    <w:rsid w:val="006D03CF"/>
    <w:rsid w:val="006E718E"/>
    <w:rsid w:val="006F5F6D"/>
    <w:rsid w:val="00703061"/>
    <w:rsid w:val="00705C93"/>
    <w:rsid w:val="00712CDC"/>
    <w:rsid w:val="00714AA6"/>
    <w:rsid w:val="00755441"/>
    <w:rsid w:val="00756AC7"/>
    <w:rsid w:val="00777F57"/>
    <w:rsid w:val="007C29FE"/>
    <w:rsid w:val="007C5A9C"/>
    <w:rsid w:val="007C7D81"/>
    <w:rsid w:val="007E0813"/>
    <w:rsid w:val="007F1CEF"/>
    <w:rsid w:val="007F2CE7"/>
    <w:rsid w:val="007F70C4"/>
    <w:rsid w:val="0081567C"/>
    <w:rsid w:val="00816D28"/>
    <w:rsid w:val="00822919"/>
    <w:rsid w:val="00836A2D"/>
    <w:rsid w:val="00872CF9"/>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A6A12"/>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D4BF0"/>
    <w:rsid w:val="00AE0D72"/>
    <w:rsid w:val="00AE50E2"/>
    <w:rsid w:val="00B02FC0"/>
    <w:rsid w:val="00B03C13"/>
    <w:rsid w:val="00B1685E"/>
    <w:rsid w:val="00B41547"/>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5420D"/>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65C02"/>
  <w15:docId w15:val="{CC3C1950-1918-4AB3-A13F-58B2884B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11E53-DFB3-4872-BDFF-24C6E80E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Johnson</dc:creator>
  <cp:keywords/>
  <cp:lastModifiedBy>Claire Cherry-Hardy</cp:lastModifiedBy>
  <cp:revision>18</cp:revision>
  <cp:lastPrinted>2014-07-31T10:58:00Z</cp:lastPrinted>
  <dcterms:created xsi:type="dcterms:W3CDTF">2014-11-06T16:00:00Z</dcterms:created>
  <dcterms:modified xsi:type="dcterms:W3CDTF">2023-08-31T11:34:00Z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