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7"/>
      </w:tblGrid>
      <w:tr w:rsidR="008B38A0" w14:paraId="3B46A48F" w14:textId="77777777" w:rsidTr="00F239A6">
        <w:trPr>
          <w:trHeight w:val="4725"/>
        </w:trPr>
        <w:tc>
          <w:tcPr>
            <w:tcW w:w="10717" w:type="dxa"/>
          </w:tcPr>
          <w:p w14:paraId="2425875F"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394FC2DD" w:rsidR="008B38A0" w:rsidRDefault="008B38A0" w:rsidP="004F7429">
            <w:pPr>
              <w:spacing w:after="0"/>
              <w:ind w:left="105"/>
              <w:rPr>
                <w:rFonts w:cstheme="minorHAnsi"/>
                <w:sz w:val="24"/>
                <w:szCs w:val="24"/>
              </w:rPr>
            </w:pPr>
            <w:r w:rsidRPr="00CF2046">
              <w:rPr>
                <w:rFonts w:cstheme="minorHAnsi"/>
                <w:sz w:val="24"/>
                <w:szCs w:val="24"/>
              </w:rPr>
              <w:t>The law requires</w:t>
            </w:r>
            <w:r w:rsidR="007E7DD1">
              <w:rPr>
                <w:rFonts w:cstheme="minorHAnsi"/>
                <w:sz w:val="24"/>
                <w:szCs w:val="24"/>
              </w:rPr>
              <w:t xml:space="preserve"> Dr Malik Practice</w:t>
            </w:r>
            <w:r w:rsidRPr="00CF2046">
              <w:rPr>
                <w:rFonts w:cstheme="minorHAnsi"/>
                <w:color w:val="FF0000"/>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8B38A0" w14:paraId="65014457" w14:textId="77777777" w:rsidTr="00F239A6">
        <w:trPr>
          <w:trHeight w:val="4701"/>
        </w:trPr>
        <w:tc>
          <w:tcPr>
            <w:tcW w:w="10774"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77777777" w:rsidR="008B38A0" w:rsidRDefault="004F4F44" w:rsidP="004F7429">
            <w:pPr>
              <w:pStyle w:val="ListParagraph"/>
              <w:spacing w:after="0"/>
              <w:rPr>
                <w:rStyle w:val="Hyperlink"/>
                <w:color w:val="0070C0"/>
                <w:sz w:val="24"/>
                <w:szCs w:val="24"/>
              </w:rPr>
            </w:pPr>
            <w:hyperlink r:id="rId10"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77777777"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1"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877" w:tblpY="7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8B38A0" w14:paraId="158629FA" w14:textId="77777777" w:rsidTr="00F239A6">
        <w:trPr>
          <w:trHeight w:val="2962"/>
        </w:trPr>
        <w:tc>
          <w:tcPr>
            <w:tcW w:w="10740" w:type="dxa"/>
          </w:tcPr>
          <w:p w14:paraId="490FCC8B" w14:textId="77777777" w:rsidR="008B38A0" w:rsidRPr="003474D4" w:rsidRDefault="008B38A0" w:rsidP="00F239A6">
            <w:pPr>
              <w:ind w:left="75"/>
              <w:rPr>
                <w:b/>
                <w:sz w:val="28"/>
                <w:szCs w:val="28"/>
              </w:rPr>
            </w:pPr>
            <w:r w:rsidRPr="003474D4">
              <w:rPr>
                <w:b/>
                <w:sz w:val="28"/>
                <w:szCs w:val="28"/>
              </w:rPr>
              <w:lastRenderedPageBreak/>
              <w:t>Care Quality Commission (CQC)</w:t>
            </w:r>
          </w:p>
          <w:p w14:paraId="7E26DE1D" w14:textId="77777777" w:rsidR="008B38A0" w:rsidRDefault="008B38A0" w:rsidP="00F239A6">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F239A6">
            <w:pPr>
              <w:pStyle w:val="ListParagraph"/>
              <w:spacing w:after="0"/>
              <w:ind w:left="714"/>
              <w:rPr>
                <w:rFonts w:cstheme="minorHAnsi"/>
                <w:sz w:val="24"/>
                <w:szCs w:val="24"/>
              </w:rPr>
            </w:pPr>
          </w:p>
          <w:p w14:paraId="62721BAE" w14:textId="77777777" w:rsidR="008B38A0" w:rsidRDefault="008B38A0" w:rsidP="00F239A6">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F239A6">
            <w:pPr>
              <w:spacing w:after="0"/>
              <w:rPr>
                <w:rFonts w:cstheme="minorHAnsi"/>
                <w:sz w:val="24"/>
                <w:szCs w:val="24"/>
              </w:rPr>
            </w:pPr>
          </w:p>
          <w:p w14:paraId="7193061A" w14:textId="77777777" w:rsidR="008B38A0" w:rsidRPr="003474D4" w:rsidRDefault="008B38A0" w:rsidP="00F239A6">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2" w:history="1">
              <w:r w:rsidRPr="003474D4">
                <w:rPr>
                  <w:rStyle w:val="Hyperlink"/>
                  <w:rFonts w:cstheme="minorHAnsi"/>
                  <w:sz w:val="24"/>
                  <w:szCs w:val="24"/>
                </w:rPr>
                <w:t>http://www.cqc.org.uk/</w:t>
              </w:r>
            </w:hyperlink>
          </w:p>
          <w:p w14:paraId="305E0E54" w14:textId="77777777" w:rsidR="008B38A0" w:rsidRPr="00CF2046" w:rsidRDefault="008B38A0" w:rsidP="00F239A6">
            <w:pPr>
              <w:rPr>
                <w:rFonts w:cstheme="minorHAnsi"/>
                <w:sz w:val="24"/>
                <w:szCs w:val="24"/>
              </w:rPr>
            </w:pPr>
            <w:r w:rsidRPr="00CF2046">
              <w:rPr>
                <w:rFonts w:cstheme="minorHAnsi"/>
                <w:sz w:val="24"/>
                <w:szCs w:val="24"/>
              </w:rPr>
              <w:br w:type="page"/>
            </w:r>
          </w:p>
          <w:p w14:paraId="23588229" w14:textId="77777777" w:rsidR="008B38A0" w:rsidRDefault="008B38A0" w:rsidP="00F239A6">
            <w:pPr>
              <w:rPr>
                <w:b/>
                <w:sz w:val="28"/>
                <w:szCs w:val="28"/>
              </w:rPr>
            </w:pPr>
          </w:p>
        </w:tc>
      </w:tr>
    </w:tbl>
    <w:p w14:paraId="57050F72" w14:textId="77777777" w:rsidR="008B38A0" w:rsidRDefault="008B38A0" w:rsidP="008B38A0">
      <w:pPr>
        <w:rPr>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8B38A0" w14:paraId="7BD5F3B9" w14:textId="77777777" w:rsidTr="00F239A6">
        <w:trPr>
          <w:trHeight w:val="4140"/>
        </w:trPr>
        <w:tc>
          <w:tcPr>
            <w:tcW w:w="10774"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3"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10031" w:type="dxa"/>
        <w:tblLook w:val="04A0" w:firstRow="1" w:lastRow="0" w:firstColumn="1" w:lastColumn="0" w:noHBand="0" w:noVBand="1"/>
      </w:tblPr>
      <w:tblGrid>
        <w:gridCol w:w="2405"/>
        <w:gridCol w:w="7626"/>
      </w:tblGrid>
      <w:tr w:rsidR="008B38A0" w:rsidRPr="006E5EB2" w14:paraId="1BFF2700" w14:textId="77777777" w:rsidTr="00797495">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7626" w:type="dxa"/>
          </w:tcPr>
          <w:p w14:paraId="00CEE3A0" w14:textId="08B148E2" w:rsidR="008B38A0" w:rsidRPr="006E5EB2" w:rsidRDefault="00797495" w:rsidP="00797495">
            <w:pPr>
              <w:rPr>
                <w:rFonts w:cstheme="minorHAnsi"/>
              </w:rPr>
            </w:pPr>
            <w:r>
              <w:rPr>
                <w:rFonts w:cstheme="minorHAnsi"/>
                <w:lang w:eastAsia="en-GB"/>
              </w:rPr>
              <w:t xml:space="preserve">Dr </w:t>
            </w:r>
            <w:r w:rsidR="007E7DD1" w:rsidRPr="007E7DD1">
              <w:rPr>
                <w:rFonts w:cstheme="minorHAnsi"/>
                <w:lang w:eastAsia="en-GB"/>
              </w:rPr>
              <w:t>Malik Practice, Kent</w:t>
            </w:r>
            <w:r>
              <w:rPr>
                <w:rFonts w:cstheme="minorHAnsi"/>
                <w:lang w:eastAsia="en-GB"/>
              </w:rPr>
              <w:t xml:space="preserve"> </w:t>
            </w:r>
            <w:r w:rsidR="007E7DD1" w:rsidRPr="007E7DD1">
              <w:rPr>
                <w:rFonts w:cstheme="minorHAnsi"/>
                <w:lang w:eastAsia="en-GB"/>
              </w:rPr>
              <w:t>Elms health Centre, 1 Rayleigh Road, Leigh On Sea, Essex SS9 5UU</w:t>
            </w:r>
          </w:p>
        </w:tc>
      </w:tr>
      <w:tr w:rsidR="008B38A0" w:rsidRPr="006E5EB2" w14:paraId="66EE9069" w14:textId="77777777" w:rsidTr="00797495">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7626" w:type="dxa"/>
          </w:tcPr>
          <w:p w14:paraId="14F78B22" w14:textId="77777777" w:rsidR="0054047E" w:rsidRDefault="0054047E" w:rsidP="0054047E">
            <w:pPr>
              <w:rPr>
                <w:rFonts w:ascii="Calibri" w:hAnsi="Calibri"/>
                <w:lang w:eastAsia="en-GB"/>
              </w:rPr>
            </w:pPr>
            <w:r>
              <w:rPr>
                <w:rFonts w:ascii="Calibri" w:hAnsi="Calibri"/>
                <w:lang w:eastAsia="en-GB"/>
              </w:rPr>
              <w:t>Jane Marley</w:t>
            </w:r>
          </w:p>
          <w:p w14:paraId="77A146DA" w14:textId="77777777" w:rsidR="0054047E" w:rsidRDefault="0054047E" w:rsidP="0054047E">
            <w:pPr>
              <w:rPr>
                <w:rFonts w:ascii="Calibri" w:hAnsi="Calibri"/>
                <w:lang w:eastAsia="en-GB"/>
              </w:rPr>
            </w:pPr>
            <w:r>
              <w:rPr>
                <w:rFonts w:ascii="Calibri" w:hAnsi="Calibri"/>
                <w:lang w:eastAsia="en-GB"/>
              </w:rPr>
              <w:t>Head of Information Governance and Data Protection Officer</w:t>
            </w:r>
          </w:p>
          <w:p w14:paraId="01281F8C" w14:textId="77777777" w:rsidR="0054047E" w:rsidRDefault="0054047E" w:rsidP="0054047E">
            <w:pPr>
              <w:rPr>
                <w:rFonts w:ascii="Calibri" w:hAnsi="Calibri"/>
                <w:lang w:eastAsia="en-GB"/>
              </w:rPr>
            </w:pPr>
            <w:r>
              <w:rPr>
                <w:rFonts w:ascii="Calibri" w:hAnsi="Calibri"/>
                <w:lang w:eastAsia="en-GB"/>
              </w:rPr>
              <w:t>Essex CCGs</w:t>
            </w:r>
          </w:p>
          <w:p w14:paraId="04F28540" w14:textId="7B4EE532" w:rsidR="000A7AA9" w:rsidRPr="006E5EB2" w:rsidRDefault="0054047E" w:rsidP="0054047E">
            <w:pPr>
              <w:rPr>
                <w:rFonts w:cstheme="minorHAnsi"/>
              </w:rPr>
            </w:pPr>
            <w:r>
              <w:rPr>
                <w:rFonts w:ascii="Calibri" w:hAnsi="Calibri"/>
                <w:lang w:eastAsia="en-GB"/>
              </w:rPr>
              <w:t>Telephone:01268 594 531   07854 441295</w:t>
            </w:r>
          </w:p>
        </w:tc>
      </w:tr>
      <w:tr w:rsidR="008B38A0" w:rsidRPr="006E5EB2" w14:paraId="052A3ED6" w14:textId="77777777" w:rsidTr="00797495">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7626"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797495">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7626"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797495">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7626"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3949AE49" w14:textId="77777777" w:rsidR="00797495" w:rsidRPr="00797495" w:rsidRDefault="008B38A0" w:rsidP="008B38A0">
            <w:pPr>
              <w:pStyle w:val="ListParagraph"/>
              <w:numPr>
                <w:ilvl w:val="0"/>
                <w:numId w:val="7"/>
              </w:numPr>
              <w:rPr>
                <w:rFonts w:cstheme="minorHAnsi"/>
                <w:color w:val="000000"/>
                <w:lang w:eastAsia="en-GB"/>
              </w:rPr>
            </w:pPr>
            <w:r w:rsidRPr="00797495">
              <w:rPr>
                <w:rFonts w:cstheme="minorHAnsi"/>
                <w:color w:val="000000"/>
                <w:lang w:eastAsia="en-GB"/>
              </w:rPr>
              <w:t>The data will be shared with the Care Quality Commission</w:t>
            </w:r>
            <w:r w:rsidRPr="00797495">
              <w:rPr>
                <w:rFonts w:cstheme="minorHAnsi"/>
                <w:lang w:eastAsia="en-GB"/>
              </w:rPr>
              <w:t>.</w:t>
            </w:r>
            <w:r w:rsidRPr="00797495">
              <w:rPr>
                <w:rFonts w:cstheme="minorHAnsi"/>
                <w:color w:val="FF0000"/>
                <w:lang w:eastAsia="en-GB"/>
              </w:rPr>
              <w:t xml:space="preserve"> </w:t>
            </w:r>
          </w:p>
          <w:p w14:paraId="56B5A299" w14:textId="5AAFFAF6" w:rsidR="008B38A0" w:rsidRPr="00797495" w:rsidRDefault="008B38A0" w:rsidP="008B38A0">
            <w:pPr>
              <w:pStyle w:val="ListParagraph"/>
              <w:numPr>
                <w:ilvl w:val="0"/>
                <w:numId w:val="7"/>
              </w:numPr>
              <w:rPr>
                <w:rFonts w:cstheme="minorHAnsi"/>
                <w:color w:val="000000"/>
                <w:lang w:eastAsia="en-GB"/>
              </w:rPr>
            </w:pPr>
            <w:r w:rsidRPr="00797495">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797495">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7626"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0B6A95EC" w14:textId="77777777" w:rsidR="00797495" w:rsidRPr="00797495" w:rsidRDefault="008B38A0" w:rsidP="004F7429">
            <w:pPr>
              <w:pStyle w:val="ListParagraph"/>
              <w:numPr>
                <w:ilvl w:val="0"/>
                <w:numId w:val="6"/>
              </w:numPr>
              <w:rPr>
                <w:rFonts w:cstheme="minorHAnsi"/>
                <w:color w:val="FF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63466F78" w14:textId="13062CAB" w:rsidR="008B38A0" w:rsidRPr="00797495" w:rsidRDefault="008B38A0" w:rsidP="00797495">
            <w:pPr>
              <w:pStyle w:val="ListParagraph"/>
              <w:rPr>
                <w:rFonts w:cstheme="minorHAnsi"/>
                <w:lang w:eastAsia="en-GB"/>
              </w:rPr>
            </w:pPr>
            <w:r w:rsidRPr="00797495">
              <w:rPr>
                <w:rFonts w:cstheme="minorHAnsi"/>
                <w:lang w:eastAsia="en-GB"/>
              </w:rPr>
              <w:t xml:space="preserve">The national data op-out model provides you with an easy way of opting-out of </w:t>
            </w:r>
            <w:r w:rsidRPr="00797495">
              <w:t xml:space="preserve">identifiable data being used for health service planning and research purposes, including when it is shared by NHS Digital for these reasons. </w:t>
            </w:r>
          </w:p>
          <w:p w14:paraId="202F3300" w14:textId="7141FF4D" w:rsidR="008B38A0" w:rsidRPr="00002173" w:rsidRDefault="008B38A0" w:rsidP="00002173">
            <w:pPr>
              <w:pStyle w:val="ListParagraph"/>
              <w:rPr>
                <w:color w:val="0070C0"/>
                <w:sz w:val="24"/>
                <w:szCs w:val="24"/>
                <w:u w:val="single"/>
              </w:rPr>
            </w:pPr>
            <w:r w:rsidRPr="00797495">
              <w:rPr>
                <w:rFonts w:cstheme="minorHAnsi"/>
                <w:lang w:eastAsia="en-GB"/>
              </w:rPr>
              <w:t>To opt-out or to find out more about your opt-out choices please go to NHS Digital’s website</w:t>
            </w:r>
            <w:r w:rsidRPr="0072219B">
              <w:rPr>
                <w:rFonts w:cstheme="minorHAnsi"/>
                <w:color w:val="000000" w:themeColor="text1"/>
                <w:lang w:eastAsia="en-GB"/>
              </w:rPr>
              <w:t xml:space="preserve">: </w:t>
            </w:r>
            <w:hyperlink r:id="rId14" w:history="1">
              <w:r w:rsidR="00797495" w:rsidRPr="00382B0A">
                <w:rPr>
                  <w:rStyle w:val="Hyperlink"/>
                  <w:color w:val="0070C0"/>
                  <w:sz w:val="24"/>
                  <w:szCs w:val="24"/>
                </w:rPr>
                <w:t>https://digital.nhs.uk/home</w:t>
              </w:r>
            </w:hyperlink>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 xml:space="preserve">There is no right of objection to NHS Digital sharing names and addresses </w:t>
            </w:r>
            <w:r>
              <w:rPr>
                <w:rFonts w:cstheme="minorHAnsi"/>
                <w:color w:val="000000"/>
                <w:lang w:eastAsia="en-GB"/>
              </w:rPr>
              <w:lastRenderedPageBreak/>
              <w:t>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0BFA32F2"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w:t>
            </w:r>
            <w:proofErr w:type="gramStart"/>
            <w:r w:rsidRPr="001829D0">
              <w:rPr>
                <w:rFonts w:cstheme="minorHAnsi"/>
                <w:color w:val="000000"/>
                <w:lang w:eastAsia="en-GB"/>
              </w:rPr>
              <w:t xml:space="preserve">Commission </w:t>
            </w:r>
            <w:r w:rsidRPr="001829D0">
              <w:rPr>
                <w:rFonts w:cstheme="minorHAnsi"/>
                <w:color w:val="FF0000"/>
                <w:lang w:eastAsia="en-GB"/>
              </w:rPr>
              <w:t xml:space="preserve"> </w:t>
            </w:r>
            <w:r>
              <w:rPr>
                <w:rFonts w:cstheme="minorHAnsi"/>
                <w:color w:val="000000"/>
                <w:lang w:eastAsia="en-GB"/>
              </w:rPr>
              <w:t>needs</w:t>
            </w:r>
            <w:proofErr w:type="gramEnd"/>
            <w:r>
              <w:rPr>
                <w:rFonts w:cstheme="minorHAnsi"/>
                <w:color w:val="000000"/>
                <w:lang w:eastAsia="en-GB"/>
              </w:rPr>
              <w:t xml:space="preserve">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797495">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7626" w:type="dxa"/>
          </w:tcPr>
          <w:p w14:paraId="6CCA38CB" w14:textId="075B997F" w:rsidR="008B38A0" w:rsidRPr="00B82931"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r w:rsidR="00B82931" w:rsidRPr="00B82931">
              <w:rPr>
                <w:rFonts w:cstheme="minorHAnsi"/>
                <w:color w:val="000000"/>
                <w:lang w:eastAsia="en-GB"/>
              </w:rPr>
              <w:t>www.maliksurgerykentelms.co.uk</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797495">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7626"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2625581C" w14:textId="77777777" w:rsidR="008B38A0" w:rsidRPr="006E5EB2" w:rsidRDefault="008B38A0" w:rsidP="00002173">
            <w:pPr>
              <w:rPr>
                <w:rFonts w:cstheme="minorHAnsi"/>
              </w:rPr>
            </w:pPr>
          </w:p>
        </w:tc>
      </w:tr>
      <w:tr w:rsidR="008B38A0" w:rsidRPr="006E5EB2" w14:paraId="146CB3DE" w14:textId="77777777" w:rsidTr="00797495">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7626"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Default="008B38A0" w:rsidP="008B38A0">
      <w:pPr>
        <w:rPr>
          <w:rFonts w:cstheme="minorHAnsi"/>
        </w:rPr>
      </w:pPr>
    </w:p>
    <w:p w14:paraId="4C7F8B3A" w14:textId="77777777" w:rsidR="00FC0377" w:rsidRDefault="00FC0377" w:rsidP="008B38A0">
      <w:pPr>
        <w:rPr>
          <w:rFonts w:cstheme="minorHAnsi"/>
        </w:rPr>
      </w:pPr>
    </w:p>
    <w:p w14:paraId="540D0E1B" w14:textId="77777777" w:rsidR="00FC0377" w:rsidRDefault="00FC0377" w:rsidP="008B38A0">
      <w:pPr>
        <w:rPr>
          <w:rFonts w:cstheme="minorHAnsi"/>
        </w:rPr>
      </w:pPr>
    </w:p>
    <w:p w14:paraId="13E3058B" w14:textId="0C512F1B" w:rsidR="00FC0377" w:rsidRDefault="00FC0377" w:rsidP="008B38A0">
      <w:pPr>
        <w:rPr>
          <w:rFonts w:cstheme="minorHAnsi"/>
          <w:b/>
          <w:sz w:val="24"/>
          <w:szCs w:val="24"/>
        </w:rPr>
      </w:pPr>
      <w:proofErr w:type="gramStart"/>
      <w:r w:rsidRPr="00FC0377">
        <w:rPr>
          <w:rFonts w:cstheme="minorHAnsi"/>
          <w:b/>
          <w:sz w:val="24"/>
          <w:szCs w:val="24"/>
        </w:rPr>
        <w:t>Reviewed  January</w:t>
      </w:r>
      <w:proofErr w:type="gramEnd"/>
      <w:r w:rsidRPr="00FC0377">
        <w:rPr>
          <w:rFonts w:cstheme="minorHAnsi"/>
          <w:b/>
          <w:sz w:val="24"/>
          <w:szCs w:val="24"/>
        </w:rPr>
        <w:t xml:space="preserve">  2020</w:t>
      </w:r>
    </w:p>
    <w:p w14:paraId="748A45E1" w14:textId="77A7B815" w:rsidR="00FC0377" w:rsidRPr="00FC0377" w:rsidRDefault="00FC0377" w:rsidP="008B38A0">
      <w:pPr>
        <w:rPr>
          <w:rFonts w:cstheme="minorHAnsi"/>
          <w:b/>
          <w:sz w:val="24"/>
          <w:szCs w:val="24"/>
        </w:rPr>
      </w:pPr>
      <w:r>
        <w:rPr>
          <w:rFonts w:cstheme="minorHAnsi"/>
          <w:b/>
          <w:sz w:val="24"/>
          <w:szCs w:val="24"/>
        </w:rPr>
        <w:t xml:space="preserve">Next </w:t>
      </w:r>
      <w:proofErr w:type="gramStart"/>
      <w:r>
        <w:rPr>
          <w:rFonts w:cstheme="minorHAnsi"/>
          <w:b/>
          <w:sz w:val="24"/>
          <w:szCs w:val="24"/>
        </w:rPr>
        <w:t>Review  January</w:t>
      </w:r>
      <w:proofErr w:type="gramEnd"/>
      <w:r>
        <w:rPr>
          <w:rFonts w:cstheme="minorHAnsi"/>
          <w:b/>
          <w:sz w:val="24"/>
          <w:szCs w:val="24"/>
        </w:rPr>
        <w:t xml:space="preserve"> 2023</w:t>
      </w:r>
    </w:p>
    <w:sectPr w:rsidR="00FC0377" w:rsidRPr="00FC0377" w:rsidSect="0044335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A539" w14:textId="77777777" w:rsidR="004F4F44" w:rsidRDefault="004F4F44" w:rsidP="00B82931">
      <w:pPr>
        <w:spacing w:after="0" w:line="240" w:lineRule="auto"/>
      </w:pPr>
      <w:r>
        <w:separator/>
      </w:r>
    </w:p>
  </w:endnote>
  <w:endnote w:type="continuationSeparator" w:id="0">
    <w:p w14:paraId="2B25AF9A" w14:textId="77777777" w:rsidR="004F4F44" w:rsidRDefault="004F4F44" w:rsidP="00B8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54831"/>
      <w:docPartObj>
        <w:docPartGallery w:val="Page Numbers (Bottom of Page)"/>
        <w:docPartUnique/>
      </w:docPartObj>
    </w:sdtPr>
    <w:sdtEndPr>
      <w:rPr>
        <w:noProof/>
      </w:rPr>
    </w:sdtEndPr>
    <w:sdtContent>
      <w:p w14:paraId="428A95B4" w14:textId="1C7B63ED" w:rsidR="003957C6" w:rsidRDefault="003957C6">
        <w:pPr>
          <w:pStyle w:val="Footer"/>
          <w:jc w:val="right"/>
        </w:pPr>
        <w:r>
          <w:fldChar w:fldCharType="begin"/>
        </w:r>
        <w:r>
          <w:instrText xml:space="preserve"> PAGE   \* MERGEFORMAT </w:instrText>
        </w:r>
        <w:r>
          <w:fldChar w:fldCharType="separate"/>
        </w:r>
        <w:r w:rsidR="00FC0377">
          <w:rPr>
            <w:noProof/>
          </w:rPr>
          <w:t>4</w:t>
        </w:r>
        <w:r>
          <w:rPr>
            <w:noProof/>
          </w:rPr>
          <w:fldChar w:fldCharType="end"/>
        </w:r>
      </w:p>
    </w:sdtContent>
  </w:sdt>
  <w:p w14:paraId="3991B93F" w14:textId="77777777" w:rsidR="003957C6" w:rsidRDefault="00395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8DF3" w14:textId="77777777" w:rsidR="004F4F44" w:rsidRDefault="004F4F44" w:rsidP="00B82931">
      <w:pPr>
        <w:spacing w:after="0" w:line="240" w:lineRule="auto"/>
      </w:pPr>
      <w:r>
        <w:separator/>
      </w:r>
    </w:p>
  </w:footnote>
  <w:footnote w:type="continuationSeparator" w:id="0">
    <w:p w14:paraId="31035D44" w14:textId="77777777" w:rsidR="004F4F44" w:rsidRDefault="004F4F44" w:rsidP="00B8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5BFB" w14:textId="71A7A85E" w:rsidR="00E83E48" w:rsidRPr="00E83E48" w:rsidRDefault="00E83E48" w:rsidP="00E83E48">
    <w:pPr>
      <w:pStyle w:val="Default"/>
      <w:jc w:val="center"/>
      <w:rPr>
        <w:b/>
        <w:sz w:val="28"/>
        <w:szCs w:val="28"/>
      </w:rPr>
    </w:pPr>
    <w:r w:rsidRPr="00E83E48">
      <w:rPr>
        <w:b/>
        <w:sz w:val="28"/>
        <w:szCs w:val="28"/>
      </w:rPr>
      <w:t>Dr Malik Practice</w:t>
    </w:r>
  </w:p>
  <w:p w14:paraId="65891CA6" w14:textId="44404BC5" w:rsidR="00305AC7" w:rsidRPr="00305AC7" w:rsidRDefault="00E83E48" w:rsidP="00E83E48">
    <w:pPr>
      <w:pStyle w:val="Header"/>
      <w:jc w:val="center"/>
      <w:rPr>
        <w:sz w:val="32"/>
        <w:szCs w:val="32"/>
      </w:rPr>
    </w:pPr>
    <w:r>
      <w:t xml:space="preserve"> </w:t>
    </w:r>
    <w:r>
      <w:rPr>
        <w:b/>
        <w:bCs/>
        <w:sz w:val="32"/>
        <w:szCs w:val="32"/>
      </w:rPr>
      <w:t xml:space="preserve">Privacy Notice to meet Legal Requirements to Share Data </w:t>
    </w:r>
    <w:r w:rsidR="00813C3F">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B73E5338"/>
    <w:lvl w:ilvl="0" w:tplc="F2789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8A0"/>
    <w:rsid w:val="00002173"/>
    <w:rsid w:val="000A7AA9"/>
    <w:rsid w:val="00305AC7"/>
    <w:rsid w:val="003957C6"/>
    <w:rsid w:val="0044335B"/>
    <w:rsid w:val="004F4F44"/>
    <w:rsid w:val="0054047E"/>
    <w:rsid w:val="00644C81"/>
    <w:rsid w:val="0072219B"/>
    <w:rsid w:val="007563CD"/>
    <w:rsid w:val="00797495"/>
    <w:rsid w:val="007E7DD1"/>
    <w:rsid w:val="00804B17"/>
    <w:rsid w:val="00813C3F"/>
    <w:rsid w:val="008B38A0"/>
    <w:rsid w:val="0090337C"/>
    <w:rsid w:val="00B750C7"/>
    <w:rsid w:val="00B82931"/>
    <w:rsid w:val="00CC55D2"/>
    <w:rsid w:val="00E83E48"/>
    <w:rsid w:val="00E85152"/>
    <w:rsid w:val="00F239A6"/>
    <w:rsid w:val="00FC037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9281375C-C927-4208-8E34-92481D86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B82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931"/>
    <w:rPr>
      <w:rFonts w:eastAsiaTheme="minorHAnsi" w:hAnsiTheme="minorHAnsi" w:cstheme="minorBidi"/>
      <w:lang w:eastAsia="en-US"/>
    </w:rPr>
  </w:style>
  <w:style w:type="paragraph" w:styleId="Footer">
    <w:name w:val="footer"/>
    <w:basedOn w:val="Normal"/>
    <w:link w:val="FooterChar"/>
    <w:uiPriority w:val="99"/>
    <w:unhideWhenUsed/>
    <w:rsid w:val="00B82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931"/>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B8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931"/>
    <w:rPr>
      <w:rFonts w:ascii="Tahoma" w:eastAsiaTheme="minorHAnsi" w:hAnsi="Tahoma" w:cs="Tahoma"/>
      <w:sz w:val="16"/>
      <w:szCs w:val="16"/>
      <w:lang w:eastAsia="en-US"/>
    </w:rPr>
  </w:style>
  <w:style w:type="paragraph" w:customStyle="1" w:styleId="Default">
    <w:name w:val="Default"/>
    <w:rsid w:val="00E83E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hyperlink" Target="https://digital.nhs.uk/hom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6</cp:revision>
  <dcterms:created xsi:type="dcterms:W3CDTF">2018-05-21T11:19:00Z</dcterms:created>
  <dcterms:modified xsi:type="dcterms:W3CDTF">2021-08-10T08:01:00Z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